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42" w:right="-424" w:firstLine="0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REQUISITOS DE FACTURACIÓN</w:t>
      </w:r>
    </w:p>
    <w:p w:rsidR="00000000" w:rsidDel="00000000" w:rsidP="00000000" w:rsidRDefault="00000000" w:rsidRPr="00000000" w14:paraId="00000002">
      <w:pPr>
        <w:ind w:right="-424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Los comprobantes fiscales (XML) y su representación impresa (PDF) de los bienes y/o servicios contratados para efectos de entrega y del pago respectivo, deberán contener lo siguiente:</w:t>
      </w:r>
    </w:p>
    <w:p w:rsidR="00000000" w:rsidDel="00000000" w:rsidP="00000000" w:rsidRDefault="00000000" w:rsidRPr="00000000" w14:paraId="00000004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Cumplir los requisitos fiscales señalados en la Ley del I.S.R. Ley del I.V.A. y el Código Fiscal de la Federación.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Describir en el comprobante fiscal (XML) y su representación impresa (PDF) los conceptos de los bienes o servicios contratados exactamente como se describen en el pedido y contrato, como son: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contrato y pedido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Centro(s) gestor(es)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Partida(s)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Unidad de medida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completa del bien o servicio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Marca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serie de cada bien (tratándose de bienes muebles)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RFC y domicilio fiscal del proveedor igual al establecido en el pedido y contrato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archivos pdf y xml, deben contener la misma información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4" w:right="-2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facturación deberá ser por número de contrato y pedido.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Deberá facturar pedidos o contratos completos. En caso de entregas parciales y prórrogas de tiempo de entrega, deberá presentar el oficio de autorización o convenio modificatorio correspondiente.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-26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Dirección Administrativa y de Seguimiento a Procesos de la Dirección General de Recursos Materiales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Servicios Generales y Catastro, a través del titular administrativo de cada dependencia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para iniciar el trámite de pago.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de pago conforme al catálogo emitido por el Servicio de Administración Tributaria (SAT).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Complemento de Pago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26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-26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000000" w:rsidDel="00000000" w:rsidP="00000000" w:rsidRDefault="00000000" w:rsidRPr="00000000" w14:paraId="0000001C">
      <w:pPr>
        <w:ind w:right="-424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8" w:w="11909" w:orient="portrait"/>
      <w:pgMar w:bottom="1418" w:top="993" w:left="851" w:right="99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Courier New"/>
  <w:font w:name="Calibri Light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 Light" w:cs="Calibri Light" w:eastAsia="Calibri Light" w:hAnsi="Calibri Light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Calibri Light" w:cs="Calibri Light" w:eastAsia="Calibri Light" w:hAnsi="Calibri Light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ANEXO E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2"/>
      <w:numFmt w:val="bullet"/>
      <w:lvlText w:val="-"/>
      <w:lvlJc w:val="left"/>
      <w:pPr>
        <w:ind w:left="644" w:hanging="359.99999999999994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MX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E6102"/>
    <w:rPr>
      <w:sz w:val="24"/>
      <w:szCs w:val="24"/>
      <w:lang w:eastAsia="es-ES"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semiHidden w:val="1"/>
    <w:rsid w:val="006E6102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styleId="TextoindependienteCar" w:customStyle="1">
    <w:name w:val="Texto independiente Car"/>
    <w:link w:val="Textoindependiente"/>
    <w:rsid w:val="00341279"/>
    <w:rPr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34"/>
    <w:qFormat w:val="1"/>
    <w:rsid w:val="00374889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1F657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F657F"/>
    <w:rPr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nhideWhenUsed w:val="1"/>
    <w:rsid w:val="001F657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rsid w:val="001F657F"/>
    <w:rPr>
      <w:sz w:val="24"/>
      <w:szCs w:val="24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2015-01-15T20:32:00Z</dcterms:created>
  <dc:creator>Gobierno del Estado de Guanajuato</dc:creator>
</cp:coreProperties>
</file>